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C9" w:rsidRPr="00EE64A5" w:rsidRDefault="00B83DC9"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Lecture Capture</w:t>
      </w:r>
    </w:p>
    <w:tbl>
      <w:tblPr>
        <w:tblW w:w="0" w:type="auto"/>
        <w:tblCellMar>
          <w:top w:w="15" w:type="dxa"/>
          <w:left w:w="15" w:type="dxa"/>
          <w:bottom w:w="15" w:type="dxa"/>
          <w:right w:w="15" w:type="dxa"/>
        </w:tblCellMar>
        <w:tblLook w:val="04A0" w:firstRow="1" w:lastRow="0" w:firstColumn="1" w:lastColumn="0" w:noHBand="0" w:noVBand="1"/>
      </w:tblPr>
      <w:tblGrid>
        <w:gridCol w:w="2230"/>
        <w:gridCol w:w="2569"/>
        <w:gridCol w:w="4211"/>
      </w:tblGrid>
      <w:tr w:rsidR="00E9188C" w:rsidRPr="00EE64A5" w:rsidTr="00B83DC9">
        <w:trPr>
          <w:trHeight w:val="285"/>
        </w:trPr>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E9188C" w:rsidRPr="00EE64A5" w:rsidTr="00B83DC9">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 w:val="18"/>
                <w:szCs w:val="20"/>
                <w:lang w:eastAsia="en-GB"/>
              </w:rPr>
              <w:t>Lecture Capture</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color w:val="000000"/>
                <w:sz w:val="18"/>
                <w:szCs w:val="20"/>
                <w:lang w:eastAsia="en-GB"/>
              </w:rPr>
              <w:t>Currently support for lecture capture is inconsistent across each School and the University’s policy is currently that modules can choose to opt-in, rather than opt-out.</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1"/>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 commitment from the University to introduce lecture capture for all courses, where possible. (June 2017)</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2"/>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Met with Associate Deans for Education within all Schools to encourage the use of Lecture Capture</w:t>
            </w:r>
          </w:p>
          <w:p w:rsidR="00E9188C" w:rsidRPr="00EE64A5" w:rsidRDefault="00E9188C" w:rsidP="00B83DC9">
            <w:pPr>
              <w:numPr>
                <w:ilvl w:val="0"/>
                <w:numId w:val="2"/>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Met with Programme Representatives to discuss the specific courses which do not currently pro</w:t>
            </w:r>
            <w:bookmarkStart w:id="0" w:name="_GoBack"/>
            <w:bookmarkEnd w:id="0"/>
            <w:r w:rsidRPr="00EE64A5">
              <w:rPr>
                <w:rFonts w:ascii="Arial" w:eastAsia="Times New Roman" w:hAnsi="Arial" w:cs="Arial"/>
                <w:color w:val="000000"/>
                <w:sz w:val="18"/>
                <w:szCs w:val="20"/>
                <w:lang w:eastAsia="en-GB"/>
              </w:rPr>
              <w:t>vide Lecture Capture</w:t>
            </w:r>
          </w:p>
          <w:p w:rsidR="00E9188C" w:rsidRPr="00EE64A5" w:rsidRDefault="00E9188C" w:rsidP="00B83DC9">
            <w:pPr>
              <w:spacing w:after="0" w:line="240" w:lineRule="auto"/>
              <w:rPr>
                <w:rFonts w:ascii="Times New Roman" w:eastAsia="Times New Roman" w:hAnsi="Times New Roman" w:cs="Times New Roman"/>
                <w:szCs w:val="24"/>
                <w:lang w:eastAsia="en-GB"/>
              </w:rPr>
            </w:pP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color w:val="000000"/>
                <w:sz w:val="18"/>
                <w:szCs w:val="20"/>
                <w:lang w:eastAsia="en-GB"/>
              </w:rPr>
              <w:t>CASS:</w:t>
            </w:r>
            <w:r w:rsidRPr="00EE64A5">
              <w:rPr>
                <w:rFonts w:ascii="Arial" w:eastAsia="Times New Roman" w:hAnsi="Arial" w:cs="Arial"/>
                <w:color w:val="000000"/>
                <w:sz w:val="18"/>
                <w:szCs w:val="20"/>
                <w:lang w:eastAsia="en-GB"/>
              </w:rPr>
              <w:t xml:space="preserve"> now increased use from 40% to 85% for undergraduate courses. The School will continue to implement further.</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color w:val="000000"/>
                <w:sz w:val="18"/>
                <w:szCs w:val="20"/>
                <w:lang w:eastAsia="en-GB"/>
              </w:rPr>
              <w:t>LAW:</w:t>
            </w:r>
            <w:r w:rsidRPr="00EE64A5">
              <w:rPr>
                <w:rFonts w:ascii="Arial" w:eastAsia="Times New Roman" w:hAnsi="Arial" w:cs="Arial"/>
                <w:color w:val="000000"/>
                <w:sz w:val="18"/>
                <w:szCs w:val="20"/>
                <w:lang w:eastAsia="en-GB"/>
              </w:rPr>
              <w:t xml:space="preserve"> increased use across a number of Modules on the undergraduate course and a commitment from the School to increase this going forward. I led on a presentation at a Law away day, receiving great support from.</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color w:val="000000"/>
                <w:sz w:val="18"/>
                <w:szCs w:val="20"/>
                <w:lang w:eastAsia="en-GB"/>
              </w:rPr>
              <w:t>SASS:</w:t>
            </w:r>
            <w:r w:rsidRPr="00EE64A5">
              <w:rPr>
                <w:rFonts w:ascii="Arial" w:eastAsia="Times New Roman" w:hAnsi="Arial" w:cs="Arial"/>
                <w:color w:val="000000"/>
                <w:sz w:val="18"/>
                <w:szCs w:val="20"/>
                <w:lang w:eastAsia="en-GB"/>
              </w:rPr>
              <w:t xml:space="preserve"> Lecture capture is widely used across many courses and students aren’t demanding as much.</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color w:val="000000"/>
                <w:sz w:val="18"/>
                <w:szCs w:val="20"/>
                <w:lang w:eastAsia="en-GB"/>
              </w:rPr>
              <w:t>SHS:</w:t>
            </w:r>
            <w:r w:rsidRPr="00EE64A5">
              <w:rPr>
                <w:rFonts w:ascii="Arial" w:eastAsia="Times New Roman" w:hAnsi="Arial" w:cs="Arial"/>
                <w:color w:val="000000"/>
                <w:sz w:val="18"/>
                <w:szCs w:val="20"/>
                <w:lang w:eastAsia="en-GB"/>
              </w:rPr>
              <w:t xml:space="preserve"> Lecture capture is heavily used across many courses and students aren’t demanding as much.</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color w:val="000000"/>
                <w:sz w:val="18"/>
                <w:szCs w:val="20"/>
                <w:lang w:eastAsia="en-GB"/>
              </w:rPr>
              <w:t>MCSE:</w:t>
            </w:r>
            <w:r w:rsidRPr="00EE64A5">
              <w:rPr>
                <w:rFonts w:ascii="Arial" w:eastAsia="Times New Roman" w:hAnsi="Arial" w:cs="Arial"/>
                <w:color w:val="000000"/>
                <w:sz w:val="18"/>
                <w:szCs w:val="20"/>
                <w:lang w:eastAsia="en-GB"/>
              </w:rPr>
              <w:t xml:space="preserve"> Very limited use across courses and Reps have communicated frustration on a number of courses. Myself and MCSE SRO met with the Dean and Associate Dean’s of the School to address these concerns. The Dean is currently investigating why this is and will continue to meet with us going forward.</w:t>
            </w:r>
          </w:p>
        </w:tc>
      </w:tr>
    </w:tbl>
    <w:p w:rsidR="00EE64A5" w:rsidRPr="00EE64A5" w:rsidRDefault="00EE64A5" w:rsidP="00B83DC9">
      <w:pPr>
        <w:spacing w:after="0" w:line="240" w:lineRule="auto"/>
        <w:rPr>
          <w:rFonts w:ascii="Arial" w:eastAsia="Times New Roman" w:hAnsi="Arial" w:cs="Arial"/>
          <w:b/>
          <w:bCs/>
          <w:color w:val="052D52"/>
          <w:szCs w:val="24"/>
          <w:lang w:eastAsia="en-GB"/>
        </w:rPr>
      </w:pPr>
    </w:p>
    <w:p w:rsidR="00B83DC9" w:rsidRPr="00EE64A5" w:rsidRDefault="00B83DC9"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Programme Reps</w:t>
      </w:r>
    </w:p>
    <w:tbl>
      <w:tblPr>
        <w:tblW w:w="0" w:type="auto"/>
        <w:tblCellMar>
          <w:top w:w="15" w:type="dxa"/>
          <w:left w:w="15" w:type="dxa"/>
          <w:bottom w:w="15" w:type="dxa"/>
          <w:right w:w="15" w:type="dxa"/>
        </w:tblCellMar>
        <w:tblLook w:val="04A0" w:firstRow="1" w:lastRow="0" w:firstColumn="1" w:lastColumn="0" w:noHBand="0" w:noVBand="1"/>
      </w:tblPr>
      <w:tblGrid>
        <w:gridCol w:w="1940"/>
        <w:gridCol w:w="3042"/>
        <w:gridCol w:w="4028"/>
      </w:tblGrid>
      <w:tr w:rsidR="00E9188C" w:rsidRPr="00EE64A5" w:rsidTr="00B83DC9">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E9188C" w:rsidRPr="00EE64A5" w:rsidTr="00B83DC9">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 w:val="18"/>
                <w:szCs w:val="20"/>
                <w:lang w:eastAsia="en-GB"/>
              </w:rPr>
              <w:t>Rewarding and Engaging Reps</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color w:val="000000"/>
                <w:sz w:val="18"/>
                <w:szCs w:val="20"/>
                <w:lang w:eastAsia="en-GB"/>
              </w:rPr>
              <w:t>There are a lack of rewards and recognition for the work being done by Programme Reps.</w:t>
            </w:r>
          </w:p>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color w:val="000000"/>
                <w:sz w:val="18"/>
                <w:szCs w:val="20"/>
                <w:lang w:eastAsia="en-GB"/>
              </w:rPr>
              <w:t>There is also a lack of engaging the majority of reps with the Union’s work.</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5"/>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 more engaging Programme Rep system where reps actively support the Union’s projects and campaigns throughout the year.</w:t>
            </w:r>
          </w:p>
          <w:p w:rsidR="00E9188C" w:rsidRPr="00EE64A5" w:rsidRDefault="00E9188C" w:rsidP="00B83DC9">
            <w:pPr>
              <w:numPr>
                <w:ilvl w:val="0"/>
                <w:numId w:val="5"/>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 more rewarding system for Programme Reps to increase the number elected and train City staff with the system</w:t>
            </w:r>
          </w:p>
          <w:p w:rsidR="00E9188C" w:rsidRPr="00EE64A5" w:rsidRDefault="00E9188C" w:rsidP="00B83DC9">
            <w:pPr>
              <w:numPr>
                <w:ilvl w:val="0"/>
                <w:numId w:val="5"/>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Train all Reps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6"/>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Welcome Receptions for Programme Reps and School Staff during term 1</w:t>
            </w:r>
          </w:p>
          <w:p w:rsidR="00E9188C" w:rsidRPr="00EE64A5" w:rsidRDefault="00E9188C" w:rsidP="00B83DC9">
            <w:pPr>
              <w:numPr>
                <w:ilvl w:val="0"/>
                <w:numId w:val="6"/>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Currently looking into offering cost-price hoodies and name badges to reps</w:t>
            </w:r>
          </w:p>
          <w:p w:rsidR="00E9188C" w:rsidRPr="00EE64A5" w:rsidRDefault="00E9188C" w:rsidP="00E9188C">
            <w:pPr>
              <w:numPr>
                <w:ilvl w:val="0"/>
                <w:numId w:val="6"/>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Organising a huge Programme Rep Development conference to take place in February 2017. The conference will focus on Leadership and Employability, with workshops led by University Departments and NUS.</w:t>
            </w:r>
          </w:p>
        </w:tc>
      </w:tr>
    </w:tbl>
    <w:p w:rsidR="00EE64A5" w:rsidRPr="00EE64A5" w:rsidRDefault="00EE64A5" w:rsidP="00B83DC9">
      <w:pPr>
        <w:spacing w:after="0" w:line="240" w:lineRule="auto"/>
        <w:rPr>
          <w:rFonts w:ascii="Arial" w:eastAsia="Times New Roman" w:hAnsi="Arial" w:cs="Arial"/>
          <w:b/>
          <w:bCs/>
          <w:color w:val="052D52"/>
          <w:szCs w:val="24"/>
          <w:lang w:eastAsia="en-GB"/>
        </w:rPr>
      </w:pPr>
    </w:p>
    <w:p w:rsidR="00B83DC9" w:rsidRPr="00EE64A5" w:rsidRDefault="00B83DC9"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Commercial Essay Competition</w:t>
      </w:r>
    </w:p>
    <w:tbl>
      <w:tblPr>
        <w:tblW w:w="0" w:type="auto"/>
        <w:tblCellMar>
          <w:top w:w="15" w:type="dxa"/>
          <w:left w:w="15" w:type="dxa"/>
          <w:bottom w:w="15" w:type="dxa"/>
          <w:right w:w="15" w:type="dxa"/>
        </w:tblCellMar>
        <w:tblLook w:val="04A0" w:firstRow="1" w:lastRow="0" w:firstColumn="1" w:lastColumn="0" w:noHBand="0" w:noVBand="1"/>
      </w:tblPr>
      <w:tblGrid>
        <w:gridCol w:w="1696"/>
        <w:gridCol w:w="3871"/>
        <w:gridCol w:w="3443"/>
      </w:tblGrid>
      <w:tr w:rsidR="00E9188C" w:rsidRPr="00EE64A5" w:rsidTr="00B83DC9">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E9188C" w:rsidRPr="00EE64A5" w:rsidTr="00B83DC9">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 w:val="18"/>
                <w:szCs w:val="20"/>
                <w:lang w:eastAsia="en-GB"/>
              </w:rPr>
              <w:t>Lack of Education related Competitions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7"/>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An annual essay competition led by the Union to engage with students who share a keen interest in current political/commercial issues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8"/>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Organising a Brexit themed Essay Competition and secured prizes including 3 days’ work experience, money and limited edition pens.</w:t>
            </w:r>
          </w:p>
          <w:p w:rsidR="00E9188C" w:rsidRPr="00EE64A5" w:rsidRDefault="00E9188C" w:rsidP="00B83DC9">
            <w:pPr>
              <w:numPr>
                <w:ilvl w:val="0"/>
                <w:numId w:val="8"/>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 xml:space="preserve">Working with Schools and Careers Service to </w:t>
            </w:r>
            <w:r w:rsidRPr="00EE64A5">
              <w:rPr>
                <w:rFonts w:ascii="Arial" w:eastAsia="Times New Roman" w:hAnsi="Arial" w:cs="Arial"/>
                <w:color w:val="000000"/>
                <w:sz w:val="18"/>
                <w:szCs w:val="20"/>
                <w:lang w:eastAsia="en-GB"/>
              </w:rPr>
              <w:lastRenderedPageBreak/>
              <w:t>communicate and promote the competition with students.</w:t>
            </w:r>
          </w:p>
        </w:tc>
      </w:tr>
    </w:tbl>
    <w:p w:rsidR="00B83DC9" w:rsidRPr="00EE64A5" w:rsidRDefault="00B83DC9" w:rsidP="00B83DC9">
      <w:pPr>
        <w:spacing w:after="0" w:line="240" w:lineRule="auto"/>
        <w:rPr>
          <w:rFonts w:ascii="Times New Roman" w:eastAsia="Times New Roman" w:hAnsi="Times New Roman" w:cs="Times New Roman"/>
          <w:szCs w:val="24"/>
          <w:lang w:eastAsia="en-GB"/>
        </w:rPr>
      </w:pPr>
    </w:p>
    <w:p w:rsidR="00B83DC9" w:rsidRPr="00EE64A5" w:rsidRDefault="00B83DC9"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Keep Calm Study On</w:t>
      </w:r>
    </w:p>
    <w:tbl>
      <w:tblPr>
        <w:tblW w:w="0" w:type="auto"/>
        <w:tblCellMar>
          <w:top w:w="15" w:type="dxa"/>
          <w:left w:w="15" w:type="dxa"/>
          <w:bottom w:w="15" w:type="dxa"/>
          <w:right w:w="15" w:type="dxa"/>
        </w:tblCellMar>
        <w:tblLook w:val="04A0" w:firstRow="1" w:lastRow="0" w:firstColumn="1" w:lastColumn="0" w:noHBand="0" w:noVBand="1"/>
      </w:tblPr>
      <w:tblGrid>
        <w:gridCol w:w="1801"/>
        <w:gridCol w:w="2695"/>
        <w:gridCol w:w="4514"/>
      </w:tblGrid>
      <w:tr w:rsidR="00E9188C" w:rsidRPr="00EE64A5" w:rsidTr="00B83DC9">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E9188C" w:rsidRPr="00EE64A5" w:rsidTr="00B83DC9">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 w:val="18"/>
                <w:szCs w:val="20"/>
                <w:lang w:eastAsia="en-GB"/>
              </w:rPr>
              <w:t>Supporting students during the Assessment Period</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9"/>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 range of activities and sessions to allow students to relax and de-stress</w:t>
            </w:r>
          </w:p>
          <w:p w:rsidR="00E9188C" w:rsidRPr="00EE64A5" w:rsidRDefault="00E9188C" w:rsidP="00B83DC9">
            <w:pPr>
              <w:numPr>
                <w:ilvl w:val="0"/>
                <w:numId w:val="9"/>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Find out what support students would like to see during assessment periods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9188C" w:rsidRPr="00EE64A5" w:rsidRDefault="00E9188C" w:rsidP="00B83DC9">
            <w:pPr>
              <w:numPr>
                <w:ilvl w:val="0"/>
                <w:numId w:val="10"/>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 xml:space="preserve">Secured funding for a Keep Calm Study On campaign </w:t>
            </w:r>
          </w:p>
          <w:p w:rsidR="00E9188C" w:rsidRPr="00EE64A5" w:rsidRDefault="00E9188C" w:rsidP="00B83DC9">
            <w:pPr>
              <w:numPr>
                <w:ilvl w:val="0"/>
                <w:numId w:val="10"/>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Organised Stress Busting freebies (stress balls, pens, notepads), s</w:t>
            </w:r>
            <w:r w:rsidR="00EE64A5" w:rsidRPr="00EE64A5">
              <w:rPr>
                <w:rFonts w:ascii="Arial" w:eastAsia="Times New Roman" w:hAnsi="Arial" w:cs="Arial"/>
                <w:color w:val="000000"/>
                <w:sz w:val="18"/>
                <w:szCs w:val="20"/>
                <w:lang w:eastAsia="en-GB"/>
              </w:rPr>
              <w:t>ecured FREE CitySport classes (Y</w:t>
            </w:r>
            <w:r w:rsidRPr="00EE64A5">
              <w:rPr>
                <w:rFonts w:ascii="Arial" w:eastAsia="Times New Roman" w:hAnsi="Arial" w:cs="Arial"/>
                <w:color w:val="000000"/>
                <w:sz w:val="18"/>
                <w:szCs w:val="20"/>
                <w:lang w:eastAsia="en-GB"/>
              </w:rPr>
              <w:t xml:space="preserve">oga, </w:t>
            </w:r>
            <w:r w:rsidR="00EE64A5" w:rsidRPr="00EE64A5">
              <w:rPr>
                <w:rFonts w:ascii="Arial" w:eastAsia="Times New Roman" w:hAnsi="Arial" w:cs="Arial"/>
                <w:color w:val="000000"/>
                <w:sz w:val="18"/>
                <w:szCs w:val="20"/>
                <w:lang w:eastAsia="en-GB"/>
              </w:rPr>
              <w:t>Zumba</w:t>
            </w:r>
            <w:r w:rsidRPr="00EE64A5">
              <w:rPr>
                <w:rFonts w:ascii="Arial" w:eastAsia="Times New Roman" w:hAnsi="Arial" w:cs="Arial"/>
                <w:color w:val="000000"/>
                <w:sz w:val="18"/>
                <w:szCs w:val="20"/>
                <w:lang w:eastAsia="en-GB"/>
              </w:rPr>
              <w:t xml:space="preserve">, </w:t>
            </w:r>
            <w:r w:rsidR="00EE64A5" w:rsidRPr="00EE64A5">
              <w:rPr>
                <w:rFonts w:ascii="Arial" w:eastAsia="Times New Roman" w:hAnsi="Arial" w:cs="Arial"/>
                <w:color w:val="000000"/>
                <w:sz w:val="18"/>
                <w:szCs w:val="20"/>
                <w:lang w:eastAsia="en-GB"/>
              </w:rPr>
              <w:t>Pilates, Boxing and C</w:t>
            </w:r>
            <w:r w:rsidRPr="00EE64A5">
              <w:rPr>
                <w:rFonts w:ascii="Arial" w:eastAsia="Times New Roman" w:hAnsi="Arial" w:cs="Arial"/>
                <w:color w:val="000000"/>
                <w:sz w:val="18"/>
                <w:szCs w:val="20"/>
                <w:lang w:eastAsia="en-GB"/>
              </w:rPr>
              <w:t xml:space="preserve">ycling), a Board Games Room and a Cat Cuddling Room (organised by SU staff) </w:t>
            </w:r>
          </w:p>
          <w:p w:rsidR="00E9188C" w:rsidRPr="00EE64A5" w:rsidRDefault="00E9188C" w:rsidP="00B83DC9">
            <w:pPr>
              <w:numPr>
                <w:ilvl w:val="0"/>
                <w:numId w:val="10"/>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Conducted a student survey to identify the support mechanisms students want during the assessment period</w:t>
            </w:r>
          </w:p>
        </w:tc>
      </w:tr>
    </w:tbl>
    <w:p w:rsidR="00EE64A5" w:rsidRDefault="00EE64A5" w:rsidP="00EE64A5">
      <w:pPr>
        <w:spacing w:after="0" w:line="240" w:lineRule="auto"/>
        <w:rPr>
          <w:rFonts w:ascii="Arial" w:eastAsia="Times New Roman" w:hAnsi="Arial" w:cs="Arial"/>
          <w:b/>
          <w:bCs/>
          <w:color w:val="052D52"/>
          <w:szCs w:val="24"/>
          <w:lang w:eastAsia="en-GB"/>
        </w:rPr>
      </w:pPr>
    </w:p>
    <w:p w:rsidR="00EE64A5" w:rsidRPr="00EE64A5" w:rsidRDefault="00EE64A5" w:rsidP="00EE64A5">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Community</w:t>
      </w:r>
    </w:p>
    <w:tbl>
      <w:tblPr>
        <w:tblW w:w="0" w:type="auto"/>
        <w:tblCellMar>
          <w:top w:w="15" w:type="dxa"/>
          <w:left w:w="15" w:type="dxa"/>
          <w:bottom w:w="15" w:type="dxa"/>
          <w:right w:w="15" w:type="dxa"/>
        </w:tblCellMar>
        <w:tblLook w:val="04A0" w:firstRow="1" w:lastRow="0" w:firstColumn="1" w:lastColumn="0" w:noHBand="0" w:noVBand="1"/>
      </w:tblPr>
      <w:tblGrid>
        <w:gridCol w:w="2181"/>
        <w:gridCol w:w="2487"/>
        <w:gridCol w:w="4342"/>
      </w:tblGrid>
      <w:tr w:rsidR="00C05105" w:rsidRPr="00EE64A5" w:rsidTr="004120DA">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C05105" w:rsidRPr="00EE64A5" w:rsidTr="004120DA">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 w:val="18"/>
                <w:szCs w:val="20"/>
                <w:lang w:eastAsia="en-GB"/>
              </w:rPr>
              <w:t>Bringing staff and students together</w:t>
            </w:r>
          </w:p>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color w:val="000000"/>
                <w:sz w:val="18"/>
                <w:szCs w:val="20"/>
                <w:lang w:eastAsia="en-GB"/>
              </w:rPr>
              <w:t>There’s not enough of a sense of community between staff and students in the Schools.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E64A5" w:rsidRPr="00EE64A5" w:rsidRDefault="00EE64A5" w:rsidP="004120DA">
            <w:pPr>
              <w:numPr>
                <w:ilvl w:val="0"/>
                <w:numId w:val="3"/>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 xml:space="preserve">More collaboration between City students and staff. </w:t>
            </w:r>
          </w:p>
          <w:p w:rsidR="00EE64A5" w:rsidRPr="00EE64A5" w:rsidRDefault="00EE64A5" w:rsidP="004120DA">
            <w:pPr>
              <w:numPr>
                <w:ilvl w:val="0"/>
                <w:numId w:val="3"/>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A sense of belonging on Campus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E64A5" w:rsidRPr="00EE64A5" w:rsidRDefault="00EE64A5" w:rsidP="00C05105">
            <w:pPr>
              <w:numPr>
                <w:ilvl w:val="0"/>
                <w:numId w:val="4"/>
              </w:numPr>
              <w:spacing w:after="0" w:line="240" w:lineRule="auto"/>
              <w:textAlignment w:val="baseline"/>
              <w:rPr>
                <w:rFonts w:ascii="Arial" w:eastAsia="Times New Roman" w:hAnsi="Arial" w:cs="Arial"/>
                <w:color w:val="000000"/>
                <w:sz w:val="18"/>
                <w:szCs w:val="20"/>
                <w:lang w:eastAsia="en-GB"/>
              </w:rPr>
            </w:pPr>
            <w:r w:rsidRPr="00EE64A5">
              <w:rPr>
                <w:rFonts w:ascii="Arial" w:eastAsia="Times New Roman" w:hAnsi="Arial" w:cs="Arial"/>
                <w:color w:val="000000"/>
                <w:sz w:val="18"/>
                <w:szCs w:val="20"/>
                <w:lang w:eastAsia="en-GB"/>
              </w:rPr>
              <w:t>Led on an interactive exercise at City Communities Sub-Committee to identify Strong, Medium an</w:t>
            </w:r>
            <w:r w:rsidR="00C05105">
              <w:rPr>
                <w:rFonts w:ascii="Arial" w:eastAsia="Times New Roman" w:hAnsi="Arial" w:cs="Arial"/>
                <w:color w:val="000000"/>
                <w:sz w:val="18"/>
                <w:szCs w:val="20"/>
                <w:lang w:eastAsia="en-GB"/>
              </w:rPr>
              <w:t>d Weak communities at City. The Committee will make decisions going forward on which groups to further support this year.</w:t>
            </w:r>
          </w:p>
        </w:tc>
      </w:tr>
    </w:tbl>
    <w:p w:rsidR="00EE64A5" w:rsidRDefault="00EE64A5" w:rsidP="00EE64A5">
      <w:pPr>
        <w:spacing w:after="0" w:line="240" w:lineRule="auto"/>
        <w:rPr>
          <w:rFonts w:ascii="Arial" w:eastAsia="Times New Roman" w:hAnsi="Arial" w:cs="Arial"/>
          <w:b/>
          <w:bCs/>
          <w:color w:val="052D52"/>
          <w:szCs w:val="24"/>
          <w:lang w:eastAsia="en-GB"/>
        </w:rPr>
      </w:pPr>
    </w:p>
    <w:p w:rsidR="00EE64A5" w:rsidRPr="00EE64A5" w:rsidRDefault="00EE64A5" w:rsidP="00EE64A5">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052D52"/>
          <w:szCs w:val="24"/>
          <w:lang w:eastAsia="en-GB"/>
        </w:rPr>
        <w:t>Other Work</w:t>
      </w:r>
    </w:p>
    <w:tbl>
      <w:tblPr>
        <w:tblW w:w="0" w:type="auto"/>
        <w:tblCellMar>
          <w:top w:w="15" w:type="dxa"/>
          <w:left w:w="15" w:type="dxa"/>
          <w:bottom w:w="15" w:type="dxa"/>
          <w:right w:w="15" w:type="dxa"/>
        </w:tblCellMar>
        <w:tblLook w:val="04A0" w:firstRow="1" w:lastRow="0" w:firstColumn="1" w:lastColumn="0" w:noHBand="0" w:noVBand="1"/>
      </w:tblPr>
      <w:tblGrid>
        <w:gridCol w:w="2174"/>
        <w:gridCol w:w="3027"/>
        <w:gridCol w:w="3809"/>
      </w:tblGrid>
      <w:tr w:rsidR="009E6E96" w:rsidRPr="00EE64A5" w:rsidTr="004120DA">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is the problem?</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are you trying to achieve?</w:t>
            </w:r>
          </w:p>
        </w:tc>
        <w:tc>
          <w:tcPr>
            <w:tcW w:w="0" w:type="auto"/>
            <w:tcBorders>
              <w:top w:val="dotted" w:sz="6" w:space="0" w:color="000000"/>
              <w:left w:val="dotted" w:sz="6" w:space="0" w:color="000000"/>
              <w:bottom w:val="dotted" w:sz="6" w:space="0" w:color="000000"/>
              <w:right w:val="dotted" w:sz="6" w:space="0" w:color="000000"/>
            </w:tcBorders>
            <w:shd w:val="clear" w:color="auto" w:fill="052D52"/>
            <w:tcMar>
              <w:top w:w="105" w:type="dxa"/>
              <w:left w:w="105" w:type="dxa"/>
              <w:bottom w:w="105" w:type="dxa"/>
              <w:right w:w="105" w:type="dxa"/>
            </w:tcMar>
            <w:hideMark/>
          </w:tcPr>
          <w:p w:rsidR="00EE64A5" w:rsidRPr="00EE64A5" w:rsidRDefault="00EE64A5" w:rsidP="004120DA">
            <w:pPr>
              <w:spacing w:after="0" w:line="240" w:lineRule="auto"/>
              <w:rPr>
                <w:rFonts w:ascii="Times New Roman" w:eastAsia="Times New Roman" w:hAnsi="Times New Roman" w:cs="Times New Roman"/>
                <w:szCs w:val="24"/>
                <w:lang w:eastAsia="en-GB"/>
              </w:rPr>
            </w:pPr>
            <w:r w:rsidRPr="00EE64A5">
              <w:rPr>
                <w:rFonts w:ascii="Arial" w:eastAsia="Times New Roman" w:hAnsi="Arial" w:cs="Arial"/>
                <w:b/>
                <w:bCs/>
                <w:color w:val="FFFFFF"/>
                <w:sz w:val="20"/>
                <w:lang w:eastAsia="en-GB"/>
              </w:rPr>
              <w:t>What have you done so far?</w:t>
            </w:r>
          </w:p>
        </w:tc>
      </w:tr>
      <w:tr w:rsidR="009E6E96" w:rsidRPr="00EE64A5" w:rsidTr="00B7229B">
        <w:trPr>
          <w:trHeight w:val="836"/>
        </w:trPr>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306DF4" w:rsidRPr="00306DF4" w:rsidRDefault="00306DF4" w:rsidP="004120DA">
            <w:pPr>
              <w:spacing w:after="0" w:line="240" w:lineRule="auto"/>
              <w:rPr>
                <w:rFonts w:ascii="Arial" w:eastAsia="Times New Roman" w:hAnsi="Arial" w:cs="Arial"/>
                <w:b/>
                <w:bCs/>
                <w:color w:val="052D52"/>
                <w:sz w:val="18"/>
                <w:szCs w:val="20"/>
                <w:lang w:eastAsia="en-GB"/>
              </w:rPr>
            </w:pPr>
            <w:r>
              <w:rPr>
                <w:rFonts w:ascii="Arial" w:eastAsia="Times New Roman" w:hAnsi="Arial" w:cs="Arial"/>
                <w:b/>
                <w:bCs/>
                <w:color w:val="052D52"/>
                <w:sz w:val="18"/>
                <w:szCs w:val="20"/>
                <w:lang w:eastAsia="en-GB"/>
              </w:rPr>
              <w:t xml:space="preserve">Lack of support for students who are fasting during the examinations period </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E64A5" w:rsidRPr="00306DF4" w:rsidRDefault="00306DF4" w:rsidP="00B7229B">
            <w:pPr>
              <w:pStyle w:val="ListParagraph"/>
              <w:numPr>
                <w:ilvl w:val="0"/>
                <w:numId w:val="11"/>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Universit</w:t>
            </w:r>
            <w:r w:rsidR="00B7229B">
              <w:rPr>
                <w:rFonts w:ascii="Arial" w:eastAsia="Times New Roman" w:hAnsi="Arial" w:cs="Arial"/>
                <w:color w:val="000000"/>
                <w:sz w:val="18"/>
                <w:szCs w:val="20"/>
                <w:lang w:eastAsia="en-GB"/>
              </w:rPr>
              <w:t>y to provide wellbeing guidance and more morning examinations (potentially on weekends)</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EE64A5" w:rsidRDefault="00B7229B" w:rsidP="00B7229B">
            <w:pPr>
              <w:pStyle w:val="ListParagraph"/>
              <w:numPr>
                <w:ilvl w:val="0"/>
                <w:numId w:val="12"/>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Met with Chaplaincy Team to collaborate on work. </w:t>
            </w:r>
          </w:p>
          <w:p w:rsidR="00B7229B" w:rsidRPr="00B7229B" w:rsidRDefault="00B7229B" w:rsidP="00B7229B">
            <w:pPr>
              <w:pStyle w:val="ListParagraph"/>
              <w:numPr>
                <w:ilvl w:val="0"/>
                <w:numId w:val="12"/>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Preparing a paper to take to various University Committees and key stakeholders</w:t>
            </w:r>
            <w:r w:rsidR="00804055">
              <w:rPr>
                <w:rFonts w:ascii="Arial" w:eastAsia="Times New Roman" w:hAnsi="Arial" w:cs="Arial"/>
                <w:color w:val="000000"/>
                <w:sz w:val="18"/>
                <w:szCs w:val="20"/>
                <w:lang w:eastAsia="en-GB"/>
              </w:rPr>
              <w:t>.</w:t>
            </w:r>
          </w:p>
        </w:tc>
      </w:tr>
      <w:tr w:rsidR="009E6E96" w:rsidRPr="00B7229B" w:rsidTr="004120DA">
        <w:trPr>
          <w:trHeight w:val="836"/>
        </w:trPr>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9E6E96" w:rsidRPr="00306DF4" w:rsidRDefault="009E6E96" w:rsidP="004120DA">
            <w:pPr>
              <w:spacing w:after="0" w:line="240" w:lineRule="auto"/>
              <w:rPr>
                <w:rFonts w:ascii="Arial" w:eastAsia="Times New Roman" w:hAnsi="Arial" w:cs="Arial"/>
                <w:b/>
                <w:bCs/>
                <w:color w:val="052D52"/>
                <w:sz w:val="18"/>
                <w:szCs w:val="20"/>
                <w:lang w:eastAsia="en-GB"/>
              </w:rPr>
            </w:pPr>
            <w:r>
              <w:rPr>
                <w:rFonts w:ascii="Arial" w:eastAsia="Times New Roman" w:hAnsi="Arial" w:cs="Arial"/>
                <w:b/>
                <w:bCs/>
                <w:color w:val="052D52"/>
                <w:sz w:val="18"/>
                <w:szCs w:val="20"/>
                <w:lang w:eastAsia="en-GB"/>
              </w:rPr>
              <w:t>Lack of training and support for Students Who Teach</w:t>
            </w:r>
            <w:r>
              <w:rPr>
                <w:rFonts w:ascii="Arial" w:eastAsia="Times New Roman" w:hAnsi="Arial" w:cs="Arial"/>
                <w:b/>
                <w:bCs/>
                <w:color w:val="052D52"/>
                <w:sz w:val="18"/>
                <w:szCs w:val="20"/>
                <w:lang w:eastAsia="en-GB"/>
              </w:rPr>
              <w:t xml:space="preserve"> </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9E6E96" w:rsidRPr="009E6E96" w:rsidRDefault="009E6E96" w:rsidP="009E6E96">
            <w:pPr>
              <w:pStyle w:val="ListParagraph"/>
              <w:numPr>
                <w:ilvl w:val="0"/>
                <w:numId w:val="13"/>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University to provide training and necessary resources for all PhD students who teach.</w:t>
            </w:r>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9E6E96" w:rsidRDefault="009E6E96" w:rsidP="009E6E96">
            <w:pPr>
              <w:pStyle w:val="ListParagraph"/>
              <w:numPr>
                <w:ilvl w:val="0"/>
                <w:numId w:val="14"/>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The Union has taken a Report to University Senate and held various discussions with University Departments to tackle this issue.</w:t>
            </w:r>
          </w:p>
          <w:p w:rsidR="009E6E96" w:rsidRPr="009E6E96" w:rsidRDefault="009E6E96" w:rsidP="009E6E96">
            <w:pPr>
              <w:pStyle w:val="ListParagraph"/>
              <w:numPr>
                <w:ilvl w:val="0"/>
                <w:numId w:val="14"/>
              </w:numPr>
              <w:spacing w:after="0" w:line="240" w:lineRule="auto"/>
              <w:textAlignment w:val="baseline"/>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I have met with </w:t>
            </w:r>
            <w:r w:rsidR="00B05144">
              <w:rPr>
                <w:rFonts w:ascii="Arial" w:eastAsia="Times New Roman" w:hAnsi="Arial" w:cs="Arial"/>
                <w:color w:val="000000"/>
                <w:sz w:val="18"/>
                <w:szCs w:val="20"/>
                <w:lang w:eastAsia="en-GB"/>
              </w:rPr>
              <w:t>the Dean of the Graduate School, colleagues in Student &amp; Academic Services and the Deputy Presiden</w:t>
            </w:r>
            <w:r w:rsidR="002C7B2F">
              <w:rPr>
                <w:rFonts w:ascii="Arial" w:eastAsia="Times New Roman" w:hAnsi="Arial" w:cs="Arial"/>
                <w:color w:val="000000"/>
                <w:sz w:val="18"/>
                <w:szCs w:val="20"/>
                <w:lang w:eastAsia="en-GB"/>
              </w:rPr>
              <w:t>t to discuss ways to go forward on this issue.</w:t>
            </w:r>
          </w:p>
        </w:tc>
      </w:tr>
    </w:tbl>
    <w:p w:rsidR="00C05105" w:rsidRPr="00EE64A5" w:rsidRDefault="00C05105" w:rsidP="00EE64A5"/>
    <w:sectPr w:rsidR="00C05105" w:rsidRPr="00EE64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A4" w:rsidRDefault="001D44A4" w:rsidP="00EE64A5">
      <w:pPr>
        <w:spacing w:after="0" w:line="240" w:lineRule="auto"/>
      </w:pPr>
      <w:r>
        <w:separator/>
      </w:r>
    </w:p>
  </w:endnote>
  <w:endnote w:type="continuationSeparator" w:id="0">
    <w:p w:rsidR="001D44A4" w:rsidRDefault="001D44A4" w:rsidP="00EE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A4" w:rsidRDefault="001D44A4" w:rsidP="00EE64A5">
      <w:pPr>
        <w:spacing w:after="0" w:line="240" w:lineRule="auto"/>
      </w:pPr>
      <w:r>
        <w:separator/>
      </w:r>
    </w:p>
  </w:footnote>
  <w:footnote w:type="continuationSeparator" w:id="0">
    <w:p w:rsidR="001D44A4" w:rsidRDefault="001D44A4" w:rsidP="00EE6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C9" w:rsidRDefault="004C1CC9">
    <w:pPr>
      <w:pStyle w:val="Header"/>
    </w:pPr>
    <w:r>
      <w:t>General Meeting &amp; Council Report</w:t>
    </w:r>
    <w:r>
      <w:tab/>
    </w:r>
    <w:r>
      <w:tab/>
      <w:t>Zain Ismail – Vice-President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0E6"/>
    <w:multiLevelType w:val="multilevel"/>
    <w:tmpl w:val="B01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1A40"/>
    <w:multiLevelType w:val="multilevel"/>
    <w:tmpl w:val="7BA8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41ED0"/>
    <w:multiLevelType w:val="multilevel"/>
    <w:tmpl w:val="A9F0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01434"/>
    <w:multiLevelType w:val="multilevel"/>
    <w:tmpl w:val="6C36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21F99"/>
    <w:multiLevelType w:val="multilevel"/>
    <w:tmpl w:val="F698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A2DF4"/>
    <w:multiLevelType w:val="multilevel"/>
    <w:tmpl w:val="3F643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C3C9F"/>
    <w:multiLevelType w:val="multilevel"/>
    <w:tmpl w:val="C4EA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53390"/>
    <w:multiLevelType w:val="multilevel"/>
    <w:tmpl w:val="CF7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C4109"/>
    <w:multiLevelType w:val="multilevel"/>
    <w:tmpl w:val="8020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F1064"/>
    <w:multiLevelType w:val="hybridMultilevel"/>
    <w:tmpl w:val="CB8A1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C0777"/>
    <w:multiLevelType w:val="hybridMultilevel"/>
    <w:tmpl w:val="6A58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5D1BDA"/>
    <w:multiLevelType w:val="hybridMultilevel"/>
    <w:tmpl w:val="07DE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4681B"/>
    <w:multiLevelType w:val="multilevel"/>
    <w:tmpl w:val="49EC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A701BC"/>
    <w:multiLevelType w:val="hybridMultilevel"/>
    <w:tmpl w:val="3EE43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2"/>
  </w:num>
  <w:num w:numId="5">
    <w:abstractNumId w:val="7"/>
  </w:num>
  <w:num w:numId="6">
    <w:abstractNumId w:val="3"/>
  </w:num>
  <w:num w:numId="7">
    <w:abstractNumId w:val="0"/>
  </w:num>
  <w:num w:numId="8">
    <w:abstractNumId w:val="5"/>
  </w:num>
  <w:num w:numId="9">
    <w:abstractNumId w:val="6"/>
  </w:num>
  <w:num w:numId="10">
    <w:abstractNumId w:val="2"/>
  </w:num>
  <w:num w:numId="11">
    <w:abstractNumId w:val="1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C9"/>
    <w:rsid w:val="001D44A4"/>
    <w:rsid w:val="002C7B2F"/>
    <w:rsid w:val="00306DF4"/>
    <w:rsid w:val="004C1CC9"/>
    <w:rsid w:val="00804055"/>
    <w:rsid w:val="008C576F"/>
    <w:rsid w:val="00986CE6"/>
    <w:rsid w:val="009E6E96"/>
    <w:rsid w:val="00A74B17"/>
    <w:rsid w:val="00B05144"/>
    <w:rsid w:val="00B7229B"/>
    <w:rsid w:val="00B83DC9"/>
    <w:rsid w:val="00C05105"/>
    <w:rsid w:val="00CB6DEA"/>
    <w:rsid w:val="00E9188C"/>
    <w:rsid w:val="00EE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A5A69-D54B-44B6-8F61-8BB81527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D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A5"/>
  </w:style>
  <w:style w:type="paragraph" w:styleId="Footer">
    <w:name w:val="footer"/>
    <w:basedOn w:val="Normal"/>
    <w:link w:val="FooterChar"/>
    <w:uiPriority w:val="99"/>
    <w:unhideWhenUsed/>
    <w:rsid w:val="00EE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A5"/>
  </w:style>
  <w:style w:type="paragraph" w:styleId="ListParagraph">
    <w:name w:val="List Paragraph"/>
    <w:basedOn w:val="Normal"/>
    <w:uiPriority w:val="34"/>
    <w:qFormat/>
    <w:rsid w:val="0030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38542">
      <w:bodyDiv w:val="1"/>
      <w:marLeft w:val="0"/>
      <w:marRight w:val="0"/>
      <w:marTop w:val="0"/>
      <w:marBottom w:val="0"/>
      <w:divBdr>
        <w:top w:val="none" w:sz="0" w:space="0" w:color="auto"/>
        <w:left w:val="none" w:sz="0" w:space="0" w:color="auto"/>
        <w:bottom w:val="none" w:sz="0" w:space="0" w:color="auto"/>
        <w:right w:val="none" w:sz="0" w:space="0" w:color="auto"/>
      </w:divBdr>
      <w:divsChild>
        <w:div w:id="1050034718">
          <w:marLeft w:val="0"/>
          <w:marRight w:val="0"/>
          <w:marTop w:val="0"/>
          <w:marBottom w:val="0"/>
          <w:divBdr>
            <w:top w:val="none" w:sz="0" w:space="0" w:color="auto"/>
            <w:left w:val="none" w:sz="0" w:space="0" w:color="auto"/>
            <w:bottom w:val="none" w:sz="0" w:space="0" w:color="auto"/>
            <w:right w:val="none" w:sz="0" w:space="0" w:color="auto"/>
          </w:divBdr>
        </w:div>
        <w:div w:id="685403248">
          <w:marLeft w:val="0"/>
          <w:marRight w:val="0"/>
          <w:marTop w:val="0"/>
          <w:marBottom w:val="0"/>
          <w:divBdr>
            <w:top w:val="none" w:sz="0" w:space="0" w:color="auto"/>
            <w:left w:val="none" w:sz="0" w:space="0" w:color="auto"/>
            <w:bottom w:val="none" w:sz="0" w:space="0" w:color="auto"/>
            <w:right w:val="none" w:sz="0" w:space="0" w:color="auto"/>
          </w:divBdr>
        </w:div>
        <w:div w:id="1681857725">
          <w:marLeft w:val="0"/>
          <w:marRight w:val="0"/>
          <w:marTop w:val="0"/>
          <w:marBottom w:val="0"/>
          <w:divBdr>
            <w:top w:val="none" w:sz="0" w:space="0" w:color="auto"/>
            <w:left w:val="none" w:sz="0" w:space="0" w:color="auto"/>
            <w:bottom w:val="none" w:sz="0" w:space="0" w:color="auto"/>
            <w:right w:val="none" w:sz="0" w:space="0" w:color="auto"/>
          </w:divBdr>
        </w:div>
        <w:div w:id="1746411686">
          <w:marLeft w:val="0"/>
          <w:marRight w:val="0"/>
          <w:marTop w:val="0"/>
          <w:marBottom w:val="0"/>
          <w:divBdr>
            <w:top w:val="none" w:sz="0" w:space="0" w:color="auto"/>
            <w:left w:val="none" w:sz="0" w:space="0" w:color="auto"/>
            <w:bottom w:val="none" w:sz="0" w:space="0" w:color="auto"/>
            <w:right w:val="none" w:sz="0" w:space="0" w:color="auto"/>
          </w:divBdr>
        </w:div>
        <w:div w:id="128057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Ismail (VP Education)</dc:creator>
  <cp:keywords/>
  <dc:description/>
  <cp:lastModifiedBy>Zain Ismail (VP Education)</cp:lastModifiedBy>
  <cp:revision>12</cp:revision>
  <dcterms:created xsi:type="dcterms:W3CDTF">2017-01-27T16:36:00Z</dcterms:created>
  <dcterms:modified xsi:type="dcterms:W3CDTF">2017-01-27T16:55:00Z</dcterms:modified>
</cp:coreProperties>
</file>