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 w:cs="Times" w:hAnsi="Times" w:eastAsia="Times"/>
          <w:u w:color="000000"/>
        </w:rPr>
      </w:pPr>
      <w:r>
        <w:rPr>
          <w:rFonts w:ascii="Times" w:hAnsi="Times"/>
          <w:b w:val="1"/>
          <w:bCs w:val="1"/>
          <w:rtl w:val="0"/>
          <w:lang w:val="de-DE"/>
        </w:rPr>
        <w:t xml:space="preserve">Title: </w:t>
      </w:r>
      <w:r>
        <w:rPr>
          <w:rFonts w:ascii="Times" w:hAnsi="Times"/>
          <w:i w:val="1"/>
          <w:iCs w:val="1"/>
          <w:u w:color="ff0000"/>
          <w:rtl w:val="0"/>
          <w:lang w:val="en-US"/>
        </w:rPr>
        <w:t>Boycott, Divestment, Sanctions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i w:val="1"/>
          <w:iCs w:val="1"/>
          <w:sz w:val="24"/>
          <w:szCs w:val="24"/>
          <w:u w:color="ff000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Proposer: </w:t>
      </w:r>
      <w:r>
        <w:rPr>
          <w:rFonts w:ascii="Times" w:hAnsi="Times"/>
          <w:i w:val="1"/>
          <w:iCs w:val="1"/>
          <w:sz w:val="24"/>
          <w:szCs w:val="24"/>
          <w:u w:color="ff0000"/>
          <w:rtl w:val="0"/>
          <w:lang w:val="en-US"/>
        </w:rPr>
        <w:t>Tasnima Uddin (BME Officer)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Seconder: </w:t>
      </w:r>
      <w:r>
        <w:rPr>
          <w:rFonts w:ascii="Times" w:hAnsi="Times"/>
          <w:sz w:val="24"/>
          <w:szCs w:val="24"/>
          <w:rtl w:val="0"/>
          <w:lang w:val="en-US"/>
        </w:rPr>
        <w:t xml:space="preserve">Sharmin Siddiqa 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  <w:lang w:val="en-US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This Union Notes:</w:t>
      </w:r>
    </w:p>
    <w:p>
      <w:pPr>
        <w:pStyle w:val="Body 1"/>
        <w:numPr>
          <w:ilvl w:val="0"/>
          <w:numId w:val="2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u w:color="ff0000"/>
          <w:rtl w:val="0"/>
          <w:lang w:val="en-US"/>
        </w:rPr>
      </w:pPr>
      <w:r>
        <w:rPr>
          <w:rFonts w:ascii="Times" w:hAnsi="Times"/>
          <w:sz w:val="24"/>
          <w:szCs w:val="24"/>
          <w:u w:color="ff0000"/>
          <w:rtl w:val="0"/>
          <w:lang w:val="en-US"/>
        </w:rPr>
        <w:t>Boycott, Divestment, Sanctions (BDS) is a movement that works to pressure Israel to comply with International Law.</w:t>
      </w:r>
    </w:p>
    <w:p>
      <w:pPr>
        <w:pStyle w:val="Body 1"/>
        <w:numPr>
          <w:ilvl w:val="0"/>
          <w:numId w:val="2"/>
        </w:numPr>
        <w:jc w:val="both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This is a tactic inspired from the South African anti apartheid movement A United Nations human rights investigator has likened Israeli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occupation of Palestinian terrorise to apartheid South Africa and says </w:t>
      </w:r>
      <w:r>
        <w:rPr>
          <w:rFonts w:ascii="Times" w:hAnsi="Times"/>
          <w:sz w:val="24"/>
          <w:szCs w:val="24"/>
          <w:rtl w:val="0"/>
          <w:lang w:val="en-US"/>
        </w:rPr>
        <w:t>should be "serious consideration" over bringing the occupation to the international court of justice.</w:t>
      </w:r>
    </w:p>
    <w:p>
      <w:pPr>
        <w:pStyle w:val="Body 1"/>
        <w:numPr>
          <w:ilvl w:val="0"/>
          <w:numId w:val="2"/>
        </w:numPr>
        <w:jc w:val="both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BDS is now a vibrant global movement made of unions, academics, associations, churches and grassroots movements from across the world. Eleven years since its launch, BDS is having a major impact and affectingly challenging international support for Israel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4. </w:t>
      </w:r>
      <w:r>
        <w:rPr>
          <w:rFonts w:ascii="Times" w:hAnsi="Times"/>
          <w:sz w:val="24"/>
          <w:szCs w:val="24"/>
          <w:rtl w:val="0"/>
          <w:lang w:val="en-US"/>
        </w:rPr>
        <w:t xml:space="preserve"> BDS is aimed at the Israeli state as a political entity and is responding to a call from Palestinian civil society, Palestinian citizens of Israel and the diaspora. It is a short term strategy to encourage Israel to respond to international calls and comply with international law. 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This Union Believes: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1"/>
        <w:numPr>
          <w:ilvl w:val="0"/>
          <w:numId w:val="4"/>
        </w:numPr>
        <w:spacing w:after="0" w:line="240" w:lineRule="auto"/>
        <w:jc w:val="both"/>
        <w:rPr>
          <w:rFonts w:ascii="Times" w:cs="Times" w:hAnsi="Times" w:eastAsia="Times"/>
          <w:sz w:val="24"/>
          <w:szCs w:val="24"/>
          <w:u w:color="ff0000"/>
          <w:lang w:val="en-US"/>
        </w:rPr>
      </w:pPr>
      <w:r>
        <w:rPr>
          <w:rFonts w:ascii="Times" w:hAnsi="Times"/>
          <w:sz w:val="24"/>
          <w:szCs w:val="24"/>
          <w:u w:color="ff0000"/>
          <w:rtl w:val="0"/>
          <w:lang w:val="en-US"/>
        </w:rPr>
        <w:t>Just like the boycotting of South Africa during apartheid, it is about applying non-violent, popular pressure to effect change and challenge impunity.</w:t>
      </w:r>
    </w:p>
    <w:p>
      <w:pPr>
        <w:pStyle w:val="Body 1"/>
        <w:numPr>
          <w:ilvl w:val="0"/>
          <w:numId w:val="4"/>
        </w:numPr>
        <w:spacing w:after="0" w:line="240" w:lineRule="auto"/>
        <w:jc w:val="both"/>
        <w:rPr>
          <w:rFonts w:ascii="Times" w:cs="Times" w:hAnsi="Times" w:eastAsia="Times"/>
          <w:sz w:val="24"/>
          <w:szCs w:val="24"/>
          <w:u w:color="ff0000"/>
          <w:lang w:val="en-US"/>
        </w:rPr>
      </w:pPr>
      <w:r>
        <w:rPr>
          <w:rFonts w:ascii="Times" w:hAnsi="Times"/>
          <w:sz w:val="24"/>
          <w:szCs w:val="24"/>
          <w:u w:color="ff0000"/>
          <w:rtl w:val="0"/>
          <w:lang w:val="en-US"/>
        </w:rPr>
        <w:t xml:space="preserve"> There should be an open dialogue amount students and staff surrounding these issues.</w:t>
      </w: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  <w:u w:color="ff0000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  <w:u w:color="ff0000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1"/>
        <w:spacing w:after="0" w:line="240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This Union Resolves: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That City Students</w:t>
      </w:r>
      <w:r>
        <w:rPr>
          <w:sz w:val="24"/>
          <w:szCs w:val="24"/>
          <w:u w:color="000000"/>
          <w:rtl w:val="0"/>
          <w:lang w:val="en-US"/>
        </w:rPr>
        <w:t xml:space="preserve">’ </w:t>
      </w:r>
      <w:r>
        <w:rPr>
          <w:sz w:val="24"/>
          <w:szCs w:val="24"/>
          <w:u w:color="000000"/>
          <w:rtl w:val="0"/>
          <w:lang w:val="en-US"/>
        </w:rPr>
        <w:t>Union will raise awareness</w:t>
      </w:r>
      <w:r>
        <w:rPr>
          <w:sz w:val="24"/>
          <w:szCs w:val="24"/>
          <w:u w:color="000000"/>
          <w:rtl w:val="0"/>
          <w:lang w:val="en-US"/>
        </w:rPr>
        <w:t xml:space="preserve">, and educate students about </w:t>
      </w:r>
      <w:r>
        <w:rPr>
          <w:sz w:val="24"/>
          <w:szCs w:val="24"/>
          <w:u w:color="000000"/>
          <w:rtl w:val="0"/>
          <w:lang w:val="en-US"/>
        </w:rPr>
        <w:t>Palestinian</w:t>
      </w:r>
      <w:r>
        <w:rPr>
          <w:sz w:val="24"/>
          <w:szCs w:val="24"/>
          <w:u w:color="000000"/>
          <w:rtl w:val="0"/>
          <w:lang w:val="en-US"/>
        </w:rPr>
        <w:t xml:space="preserve"> issues.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That City Students</w:t>
      </w:r>
      <w:r>
        <w:rPr>
          <w:sz w:val="24"/>
          <w:szCs w:val="24"/>
          <w:u w:color="000000"/>
          <w:rtl w:val="0"/>
          <w:lang w:val="en-US"/>
        </w:rPr>
        <w:t xml:space="preserve">’ </w:t>
      </w:r>
      <w:r>
        <w:rPr>
          <w:sz w:val="24"/>
          <w:szCs w:val="24"/>
          <w:u w:color="000000"/>
          <w:rtl w:val="0"/>
          <w:lang w:val="en-US"/>
        </w:rPr>
        <w:t xml:space="preserve">Union will raise awareness </w:t>
      </w:r>
      <w:r>
        <w:rPr>
          <w:sz w:val="24"/>
          <w:szCs w:val="24"/>
          <w:u w:color="000000"/>
          <w:rtl w:val="0"/>
          <w:lang w:val="en-US"/>
        </w:rPr>
        <w:t>and educate students about</w:t>
      </w:r>
      <w:r>
        <w:rPr>
          <w:sz w:val="24"/>
          <w:szCs w:val="24"/>
          <w:u w:color="000000"/>
          <w:rtl w:val="0"/>
          <w:lang w:val="en-US"/>
        </w:rPr>
        <w:t xml:space="preserve"> BDS</w:t>
      </w:r>
      <w:r>
        <w:rPr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Body"/>
      </w:pPr>
      <w:r>
        <w:rPr>
          <w:rFonts w:ascii="Calibri" w:cs="Calibri" w:hAnsi="Calibri" w:eastAsia="Calibri"/>
        </w:rPr>
        <w:br w:type="page"/>
      </w:r>
    </w:p>
    <w:p>
      <w:pPr>
        <w:pStyle w:val="Body 1"/>
        <w:ind w:left="360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 1"/>
        <w:ind w:left="360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ADDITIONAL SUPPORT</w:t>
      </w:r>
    </w:p>
    <w:p>
      <w:pPr>
        <w:pStyle w:val="Body 1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following registered students of City University London support this motion going to the SU AGM/GM:</w:t>
      </w:r>
    </w:p>
    <w:p>
      <w:pPr>
        <w:pStyle w:val="Body 1"/>
        <w:ind w:left="360" w:firstLine="0"/>
        <w:jc w:val="both"/>
        <w:rPr>
          <w:rFonts w:ascii="Calibri" w:cs="Calibri" w:hAnsi="Calibri" w:eastAsia="Calibri"/>
        </w:rPr>
      </w:pPr>
    </w:p>
    <w:tbl>
      <w:tblPr>
        <w:tblW w:w="8876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9"/>
        <w:gridCol w:w="2967"/>
        <w:gridCol w:w="296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Signature</w:t>
            </w:r>
          </w:p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Student Number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1"/>
        <w:widowControl w:val="0"/>
        <w:spacing w:line="240" w:lineRule="auto"/>
        <w:ind w:left="360" w:hanging="360"/>
        <w:jc w:val="both"/>
        <w:rPr>
          <w:rFonts w:ascii="Calibri" w:cs="Calibri" w:hAnsi="Calibri" w:eastAsia="Calibri"/>
        </w:rPr>
      </w:pPr>
    </w:p>
    <w:p>
      <w:pPr>
        <w:pStyle w:val="Body 1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Body 1"/>
        <w:ind w:left="360" w:firstLine="0"/>
        <w:jc w:val="both"/>
      </w:pPr>
      <w:r>
        <w:rPr>
          <w:rFonts w:ascii="Calibri" w:cs="Calibri" w:hAnsi="Calibri" w:eastAsia="Calibri"/>
          <w:rtl w:val="0"/>
          <w:lang w:val="en-US"/>
        </w:rPr>
        <w:t>*NB: Students will be validated as registered City Students prior to your proposal being debated at a GM/AGM.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  <w:jc w:val="right"/>
    </w:pPr>
    <w:r>
      <w:drawing>
        <wp:inline distT="0" distB="0" distL="0" distR="0">
          <wp:extent cx="1227609" cy="4476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9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9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5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1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